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07D8" w:rsidRPr="00BD53DC" w:rsidRDefault="00BD53DC">
      <w:pPr>
        <w:rPr>
          <w:rFonts w:cstheme="minorHAnsi"/>
          <w:b/>
          <w:sz w:val="32"/>
          <w:szCs w:val="32"/>
          <w:u w:val="single"/>
        </w:rPr>
      </w:pPr>
      <w:r>
        <w:rPr>
          <w:rFonts w:cstheme="minorHAnsi"/>
          <w:b/>
          <w:noProof/>
          <w:sz w:val="32"/>
          <w:szCs w:val="32"/>
          <w:u w:val="single"/>
          <w:lang w:eastAsia="en-GB"/>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-695325</wp:posOffset>
                </wp:positionV>
                <wp:extent cx="1057275" cy="96202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1057275" cy="962025"/>
                        </a:xfrm>
                        <a:prstGeom prst="rect">
                          <a:avLst/>
                        </a:prstGeom>
                        <a:solidFill>
                          <a:schemeClr val="lt1"/>
                        </a:solidFill>
                        <a:ln w="6350">
                          <a:solidFill>
                            <a:prstClr val="black"/>
                          </a:solidFill>
                        </a:ln>
                      </wps:spPr>
                      <wps:txbx>
                        <w:txbxContent>
                          <w:p w:rsidR="00BD53DC" w:rsidRDefault="00BD53DC">
                            <w:r>
                              <w:rPr>
                                <w:noProof/>
                                <w:lang w:eastAsia="en-GB"/>
                              </w:rPr>
                              <w:drawing>
                                <wp:inline distT="0" distB="0" distL="0" distR="0" wp14:anchorId="4EBD7FD6" wp14:editId="1F69813C">
                                  <wp:extent cx="922655" cy="864235"/>
                                  <wp:effectExtent l="0" t="0" r="0" b="0"/>
                                  <wp:docPr id="6" name="Picture 6" descr="bELVUE cOLLEGE WITH COMMUNITY WHITE (2)"/>
                                  <wp:cNvGraphicFramePr/>
                                  <a:graphic xmlns:a="http://schemas.openxmlformats.org/drawingml/2006/main">
                                    <a:graphicData uri="http://schemas.openxmlformats.org/drawingml/2006/picture">
                                      <pic:pic xmlns:pic="http://schemas.openxmlformats.org/drawingml/2006/picture">
                                        <pic:nvPicPr>
                                          <pic:cNvPr id="6" name="Picture 6" descr="bELVUE cOLLEGE WITH COMMUNITY WHITE (2)"/>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22655" cy="8642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32.05pt;margin-top:-54.75pt;width:83.25pt;height:75.75pt;z-index:25165926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" fillcolor="white [3201]" strokeweight=".5pt">
                <v:textbox>
                  <w:txbxContent>
                    <w:p w:rsidR="00BD53DC" w:rsidRDefault="00BD53DC">
                      <w:r>
                        <w:rPr>
                          <w:noProof/>
                          <w:lang w:eastAsia="en-GB"/>
                        </w:rPr>
                        <w:drawing>
                          <wp:inline distT="0" distB="0" distL="0" distR="0" wp14:anchorId="4EBD7FD6" wp14:editId="1F69813C">
                            <wp:extent cx="922655" cy="864235"/>
                            <wp:effectExtent l="0" t="0" r="0" b="0"/>
                            <wp:docPr id="6" name="Picture 6" descr="bELVUE cOLLEGE WITH COMMUNITY WHITE (2)"/>
                            <wp:cNvGraphicFramePr/>
                            <a:graphic xmlns:a="http://schemas.openxmlformats.org/drawingml/2006/main">
                              <a:graphicData uri="http://schemas.openxmlformats.org/drawingml/2006/picture">
                                <pic:pic xmlns:pic="http://schemas.openxmlformats.org/drawingml/2006/picture">
                                  <pic:nvPicPr>
                                    <pic:cNvPr id="6" name="Picture 6" descr="bELVUE cOLLEGE WITH COMMUNITY WHITE (2)"/>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22655" cy="864235"/>
                                    </a:xfrm>
                                    <a:prstGeom prst="rect">
                                      <a:avLst/>
                                    </a:prstGeom>
                                    <a:noFill/>
                                    <a:ln>
                                      <a:noFill/>
                                    </a:ln>
                                  </pic:spPr>
                                </pic:pic>
                              </a:graphicData>
                            </a:graphic>
                          </wp:inline>
                        </w:drawing>
                      </w:r>
                    </w:p>
                  </w:txbxContent>
                </v:textbox>
                <w10:wrap anchorx="margin"/>
              </v:shape>
            </w:pict>
          </mc:Fallback>
        </mc:AlternateContent>
      </w:r>
      <w:r w:rsidR="009872D5" w:rsidRPr="00BD53DC">
        <w:rPr>
          <w:rFonts w:cstheme="minorHAnsi"/>
          <w:b/>
          <w:sz w:val="32"/>
          <w:szCs w:val="32"/>
          <w:u w:val="single"/>
        </w:rPr>
        <w:t>Mental Capacity Act (MCA)</w:t>
      </w:r>
      <w:r w:rsidR="00480BAA" w:rsidRPr="00BD53DC">
        <w:rPr>
          <w:rFonts w:cstheme="minorHAnsi"/>
          <w:b/>
          <w:sz w:val="32"/>
          <w:szCs w:val="32"/>
          <w:u w:val="single"/>
        </w:rPr>
        <w:t xml:space="preserve"> 2005</w:t>
      </w:r>
    </w:p>
    <w:p w:rsidR="00480BAA" w:rsidRPr="00BD53DC" w:rsidRDefault="00480BAA" w:rsidP="00480BAA">
      <w:pPr>
        <w:rPr>
          <w:rFonts w:cstheme="minorHAnsi"/>
          <w:sz w:val="26"/>
          <w:szCs w:val="26"/>
        </w:rPr>
      </w:pPr>
      <w:r w:rsidRPr="00BD53DC">
        <w:rPr>
          <w:rFonts w:cstheme="minorHAnsi"/>
          <w:color w:val="111111"/>
          <w:sz w:val="26"/>
          <w:szCs w:val="26"/>
          <w:shd w:val="clear" w:color="auto" w:fill="FFFFFF"/>
        </w:rPr>
        <w:t>The ‘Mental Capacity Act’ is an </w:t>
      </w:r>
      <w:r w:rsidRPr="00BD53DC">
        <w:rPr>
          <w:rStyle w:val="Strong"/>
          <w:rFonts w:cstheme="minorHAnsi"/>
          <w:color w:val="111111"/>
          <w:sz w:val="26"/>
          <w:szCs w:val="26"/>
          <w:shd w:val="clear" w:color="auto" w:fill="FFFFFF"/>
        </w:rPr>
        <w:t>important law for people with a learning disability</w:t>
      </w:r>
      <w:r w:rsidRPr="00BD53DC">
        <w:rPr>
          <w:rFonts w:cstheme="minorHAnsi"/>
          <w:color w:val="111111"/>
          <w:sz w:val="26"/>
          <w:szCs w:val="26"/>
          <w:shd w:val="clear" w:color="auto" w:fill="FFFFFF"/>
        </w:rPr>
        <w:t>. It helps make sure that people who may lack capacity to make decisions on their own get the support they need to make those decisions.</w:t>
      </w:r>
    </w:p>
    <w:p w:rsidR="00480BAA" w:rsidRPr="00BD53DC" w:rsidRDefault="00C50796" w:rsidP="00480BAA">
      <w:pPr>
        <w:rPr>
          <w:rFonts w:cstheme="minorHAnsi"/>
          <w:sz w:val="26"/>
          <w:szCs w:val="26"/>
        </w:rPr>
      </w:pPr>
      <w:r w:rsidRPr="00BD53DC">
        <w:rPr>
          <w:rFonts w:cstheme="minorHAnsi"/>
          <w:sz w:val="26"/>
          <w:szCs w:val="26"/>
        </w:rPr>
        <w:t>The</w:t>
      </w:r>
      <w:r w:rsidR="00480BAA" w:rsidRPr="00BD53DC">
        <w:rPr>
          <w:rFonts w:cstheme="minorHAnsi"/>
          <w:sz w:val="26"/>
          <w:szCs w:val="26"/>
        </w:rPr>
        <w:t xml:space="preserve"> website</w:t>
      </w:r>
      <w:r w:rsidRPr="00BD53DC">
        <w:rPr>
          <w:rFonts w:cstheme="minorHAnsi"/>
          <w:sz w:val="26"/>
          <w:szCs w:val="26"/>
        </w:rPr>
        <w:t>s</w:t>
      </w:r>
      <w:r w:rsidR="00480BAA" w:rsidRPr="00BD53DC">
        <w:rPr>
          <w:rFonts w:cstheme="minorHAnsi"/>
          <w:sz w:val="26"/>
          <w:szCs w:val="26"/>
        </w:rPr>
        <w:t xml:space="preserve"> below </w:t>
      </w:r>
      <w:r w:rsidR="00BD53DC" w:rsidRPr="00BD53DC">
        <w:rPr>
          <w:rFonts w:cstheme="minorHAnsi"/>
          <w:sz w:val="26"/>
          <w:szCs w:val="26"/>
        </w:rPr>
        <w:t>are two sites that have</w:t>
      </w:r>
      <w:r w:rsidR="00480BAA" w:rsidRPr="00BD53DC">
        <w:rPr>
          <w:rFonts w:cstheme="minorHAnsi"/>
          <w:sz w:val="26"/>
          <w:szCs w:val="26"/>
        </w:rPr>
        <w:t xml:space="preserve"> information</w:t>
      </w:r>
      <w:r w:rsidR="00BD53DC">
        <w:rPr>
          <w:rFonts w:cstheme="minorHAnsi"/>
          <w:sz w:val="26"/>
          <w:szCs w:val="26"/>
        </w:rPr>
        <w:t xml:space="preserve"> </w:t>
      </w:r>
      <w:bookmarkStart w:id="0" w:name="_GoBack"/>
      <w:bookmarkEnd w:id="0"/>
      <w:r w:rsidR="00480BAA" w:rsidRPr="00BD53DC">
        <w:rPr>
          <w:rFonts w:cstheme="minorHAnsi"/>
          <w:sz w:val="26"/>
          <w:szCs w:val="26"/>
        </w:rPr>
        <w:t xml:space="preserve">to explain the process. </w:t>
      </w:r>
      <w:r w:rsidRPr="00BD53DC">
        <w:rPr>
          <w:rFonts w:cstheme="minorHAnsi"/>
          <w:sz w:val="26"/>
          <w:szCs w:val="26"/>
        </w:rPr>
        <w:t xml:space="preserve">There are many others online too. </w:t>
      </w:r>
    </w:p>
    <w:p w:rsidR="00BD53DC" w:rsidRPr="00BD53DC" w:rsidRDefault="00BD53DC" w:rsidP="00BD53DC">
      <w:pPr>
        <w:rPr>
          <w:rFonts w:cstheme="minorHAnsi"/>
          <w:sz w:val="26"/>
          <w:szCs w:val="26"/>
        </w:rPr>
      </w:pPr>
      <w:hyperlink r:id="rId6" w:anchor=":~:text=The%20%E2%80%98Mental%20Capacity%20Act%E2%80%99%20is%20an%20important%20law,the%20support%20they%20need%20to%20make%20those%20decisions." w:history="1">
        <w:r w:rsidRPr="00BD53DC">
          <w:rPr>
            <w:rStyle w:val="Hyperlink"/>
            <w:rFonts w:cstheme="minorHAnsi"/>
            <w:sz w:val="26"/>
            <w:szCs w:val="26"/>
          </w:rPr>
          <w:t>What is The Me</w:t>
        </w:r>
        <w:r w:rsidRPr="00BD53DC">
          <w:rPr>
            <w:rStyle w:val="Hyperlink"/>
            <w:rFonts w:cstheme="minorHAnsi"/>
            <w:sz w:val="26"/>
            <w:szCs w:val="26"/>
          </w:rPr>
          <w:t>n</w:t>
        </w:r>
        <w:r w:rsidRPr="00BD53DC">
          <w:rPr>
            <w:rStyle w:val="Hyperlink"/>
            <w:rFonts w:cstheme="minorHAnsi"/>
            <w:sz w:val="26"/>
            <w:szCs w:val="26"/>
          </w:rPr>
          <w:t xml:space="preserve">tal Capacity Act? | </w:t>
        </w:r>
        <w:proofErr w:type="spellStart"/>
        <w:r w:rsidRPr="00BD53DC">
          <w:rPr>
            <w:rStyle w:val="Hyperlink"/>
            <w:rFonts w:cstheme="minorHAnsi"/>
            <w:sz w:val="26"/>
            <w:szCs w:val="26"/>
          </w:rPr>
          <w:t>Mencap</w:t>
        </w:r>
        <w:proofErr w:type="spellEnd"/>
      </w:hyperlink>
      <w:r w:rsidRPr="00BD53DC">
        <w:rPr>
          <w:rFonts w:cstheme="minorHAnsi"/>
          <w:sz w:val="26"/>
          <w:szCs w:val="26"/>
        </w:rPr>
        <w:t xml:space="preserve"> </w:t>
      </w:r>
    </w:p>
    <w:p w:rsidR="00480BAA" w:rsidRPr="00BD53DC" w:rsidRDefault="00480BAA" w:rsidP="00480BAA">
      <w:pPr>
        <w:rPr>
          <w:rFonts w:cstheme="minorHAnsi"/>
          <w:sz w:val="26"/>
          <w:szCs w:val="26"/>
        </w:rPr>
      </w:pPr>
      <w:hyperlink r:id="rId7" w:anchor="principles" w:history="1">
        <w:r w:rsidRPr="00BD53DC">
          <w:rPr>
            <w:rStyle w:val="Hyperlink"/>
            <w:rFonts w:cstheme="minorHAnsi"/>
            <w:sz w:val="26"/>
            <w:szCs w:val="26"/>
          </w:rPr>
          <w:t>Mental Capacity Act 200</w:t>
        </w:r>
        <w:r w:rsidRPr="00BD53DC">
          <w:rPr>
            <w:rStyle w:val="Hyperlink"/>
            <w:rFonts w:cstheme="minorHAnsi"/>
            <w:sz w:val="26"/>
            <w:szCs w:val="26"/>
          </w:rPr>
          <w:t>5</w:t>
        </w:r>
        <w:r w:rsidRPr="00BD53DC">
          <w:rPr>
            <w:rStyle w:val="Hyperlink"/>
            <w:rFonts w:cstheme="minorHAnsi"/>
            <w:sz w:val="26"/>
            <w:szCs w:val="26"/>
          </w:rPr>
          <w:t xml:space="preserve"> at a glance | </w:t>
        </w:r>
        <w:proofErr w:type="spellStart"/>
        <w:r w:rsidRPr="00BD53DC">
          <w:rPr>
            <w:rStyle w:val="Hyperlink"/>
            <w:rFonts w:cstheme="minorHAnsi"/>
            <w:sz w:val="26"/>
            <w:szCs w:val="26"/>
          </w:rPr>
          <w:t>SCIE</w:t>
        </w:r>
        <w:proofErr w:type="spellEnd"/>
      </w:hyperlink>
    </w:p>
    <w:p w:rsidR="00480BAA" w:rsidRPr="00BD53DC" w:rsidRDefault="00480BAA" w:rsidP="00480BAA">
      <w:pPr>
        <w:spacing w:after="225"/>
        <w:rPr>
          <w:rFonts w:eastAsia="Times New Roman" w:cstheme="minorHAnsi"/>
          <w:color w:val="303030"/>
          <w:sz w:val="26"/>
          <w:szCs w:val="26"/>
          <w:lang w:eastAsia="en-GB"/>
        </w:rPr>
      </w:pPr>
      <w:r w:rsidRPr="00BD53DC">
        <w:rPr>
          <w:rFonts w:eastAsia="Times New Roman" w:cstheme="minorHAnsi"/>
          <w:color w:val="303030"/>
          <w:sz w:val="26"/>
          <w:szCs w:val="26"/>
          <w:lang w:eastAsia="en-GB"/>
        </w:rPr>
        <w:t xml:space="preserve">The MCA has been in force since 2007 and applies to England and Wales. The primary purpose of the MCA is to promote and safeguard decision-making within a legal framework. </w:t>
      </w:r>
    </w:p>
    <w:p w:rsidR="00C50796" w:rsidRPr="00BD53DC" w:rsidRDefault="00C50796" w:rsidP="00C50796">
      <w:pPr>
        <w:spacing w:after="225" w:line="360" w:lineRule="auto"/>
        <w:rPr>
          <w:rFonts w:eastAsia="Times New Roman" w:cstheme="minorHAnsi"/>
          <w:color w:val="303030"/>
          <w:sz w:val="26"/>
          <w:szCs w:val="26"/>
          <w:lang w:eastAsia="en-GB"/>
        </w:rPr>
      </w:pPr>
      <w:r w:rsidRPr="00BD53DC">
        <w:rPr>
          <w:rFonts w:eastAsia="Times New Roman" w:cstheme="minorHAnsi"/>
          <w:color w:val="303030"/>
          <w:sz w:val="26"/>
          <w:szCs w:val="26"/>
          <w:lang w:eastAsia="en-GB"/>
        </w:rPr>
        <w:t>Main Principles</w:t>
      </w:r>
    </w:p>
    <w:p w:rsidR="00C50796" w:rsidRPr="00BD53DC" w:rsidRDefault="00C50796" w:rsidP="00C50796">
      <w:pPr>
        <w:numPr>
          <w:ilvl w:val="0"/>
          <w:numId w:val="3"/>
        </w:numPr>
        <w:shd w:val="clear" w:color="auto" w:fill="FFFFFF"/>
        <w:spacing w:before="100" w:beforeAutospacing="1" w:after="100" w:afterAutospacing="1" w:line="360" w:lineRule="auto"/>
        <w:rPr>
          <w:rFonts w:eastAsia="Times New Roman" w:cstheme="minorHAnsi"/>
          <w:color w:val="302E2F"/>
          <w:sz w:val="26"/>
          <w:szCs w:val="26"/>
          <w:lang w:eastAsia="en-GB"/>
        </w:rPr>
      </w:pPr>
      <w:r w:rsidRPr="00BD53DC">
        <w:rPr>
          <w:rFonts w:eastAsia="Times New Roman" w:cstheme="minorHAnsi"/>
          <w:color w:val="302E2F"/>
          <w:sz w:val="26"/>
          <w:szCs w:val="26"/>
          <w:lang w:eastAsia="en-GB"/>
        </w:rPr>
        <w:t>Always assume the person is able to make the decision until you have proof they are not.</w:t>
      </w:r>
    </w:p>
    <w:p w:rsidR="00C50796" w:rsidRPr="00BD53DC" w:rsidRDefault="00C50796" w:rsidP="00C50796">
      <w:pPr>
        <w:numPr>
          <w:ilvl w:val="0"/>
          <w:numId w:val="3"/>
        </w:numPr>
        <w:shd w:val="clear" w:color="auto" w:fill="FFFFFF"/>
        <w:spacing w:before="100" w:beforeAutospacing="1" w:after="100" w:afterAutospacing="1" w:line="360" w:lineRule="auto"/>
        <w:rPr>
          <w:rFonts w:eastAsia="Times New Roman" w:cstheme="minorHAnsi"/>
          <w:color w:val="302E2F"/>
          <w:sz w:val="26"/>
          <w:szCs w:val="26"/>
          <w:lang w:eastAsia="en-GB"/>
        </w:rPr>
      </w:pPr>
      <w:r w:rsidRPr="00BD53DC">
        <w:rPr>
          <w:rFonts w:eastAsia="Times New Roman" w:cstheme="minorHAnsi"/>
          <w:color w:val="302E2F"/>
          <w:sz w:val="26"/>
          <w:szCs w:val="26"/>
          <w:lang w:eastAsia="en-GB"/>
        </w:rPr>
        <w:t>Try everything possible to support and empower the person make the decision themselves wherever possible.</w:t>
      </w:r>
    </w:p>
    <w:p w:rsidR="00C50796" w:rsidRPr="00BD53DC" w:rsidRDefault="00C50796" w:rsidP="00C50796">
      <w:pPr>
        <w:numPr>
          <w:ilvl w:val="0"/>
          <w:numId w:val="3"/>
        </w:numPr>
        <w:shd w:val="clear" w:color="auto" w:fill="FFFFFF"/>
        <w:spacing w:before="100" w:beforeAutospacing="1" w:after="100" w:afterAutospacing="1" w:line="360" w:lineRule="auto"/>
        <w:rPr>
          <w:rFonts w:eastAsia="Times New Roman" w:cstheme="minorHAnsi"/>
          <w:color w:val="302E2F"/>
          <w:sz w:val="26"/>
          <w:szCs w:val="26"/>
          <w:lang w:eastAsia="en-GB"/>
        </w:rPr>
      </w:pPr>
      <w:r w:rsidRPr="00BD53DC">
        <w:rPr>
          <w:rFonts w:eastAsia="Times New Roman" w:cstheme="minorHAnsi"/>
          <w:color w:val="302E2F"/>
          <w:sz w:val="26"/>
          <w:szCs w:val="26"/>
          <w:lang w:eastAsia="en-GB"/>
        </w:rPr>
        <w:t>Do not assume the person does not have capacity to make a decision just because they make a decision that you think is unwise or wrong.</w:t>
      </w:r>
    </w:p>
    <w:p w:rsidR="00C50796" w:rsidRPr="00BD53DC" w:rsidRDefault="00C50796" w:rsidP="00C50796">
      <w:pPr>
        <w:numPr>
          <w:ilvl w:val="0"/>
          <w:numId w:val="3"/>
        </w:numPr>
        <w:shd w:val="clear" w:color="auto" w:fill="FFFFFF"/>
        <w:spacing w:before="100" w:beforeAutospacing="1" w:after="100" w:afterAutospacing="1" w:line="360" w:lineRule="auto"/>
        <w:rPr>
          <w:rFonts w:eastAsia="Times New Roman" w:cstheme="minorHAnsi"/>
          <w:color w:val="302E2F"/>
          <w:sz w:val="26"/>
          <w:szCs w:val="26"/>
          <w:lang w:eastAsia="en-GB"/>
        </w:rPr>
      </w:pPr>
      <w:r w:rsidRPr="00BD53DC">
        <w:rPr>
          <w:rFonts w:eastAsia="Times New Roman" w:cstheme="minorHAnsi"/>
          <w:color w:val="302E2F"/>
          <w:sz w:val="26"/>
          <w:szCs w:val="26"/>
          <w:lang w:eastAsia="en-GB"/>
        </w:rPr>
        <w:t>If you make a decision for someone who cannot make it themselves, the decision must always be in their best interests.</w:t>
      </w:r>
    </w:p>
    <w:p w:rsidR="00C50796" w:rsidRPr="00BD53DC" w:rsidRDefault="00C50796" w:rsidP="00C50796">
      <w:pPr>
        <w:numPr>
          <w:ilvl w:val="0"/>
          <w:numId w:val="3"/>
        </w:numPr>
        <w:shd w:val="clear" w:color="auto" w:fill="FFFFFF"/>
        <w:spacing w:before="100" w:beforeAutospacing="1" w:after="100" w:afterAutospacing="1" w:line="360" w:lineRule="auto"/>
        <w:rPr>
          <w:rFonts w:eastAsia="Times New Roman" w:cstheme="minorHAnsi"/>
          <w:color w:val="302E2F"/>
          <w:sz w:val="26"/>
          <w:szCs w:val="26"/>
          <w:lang w:eastAsia="en-GB"/>
        </w:rPr>
      </w:pPr>
      <w:r w:rsidRPr="00BD53DC">
        <w:rPr>
          <w:rFonts w:eastAsia="Times New Roman" w:cstheme="minorHAnsi"/>
          <w:color w:val="302E2F"/>
          <w:sz w:val="26"/>
          <w:szCs w:val="26"/>
          <w:lang w:eastAsia="en-GB"/>
        </w:rPr>
        <w:t>Any decisions, treatment or care for someone who lacks capacity must always follow the path that is flexible and the least restrictive of their basic rights and freedoms.</w:t>
      </w:r>
    </w:p>
    <w:p w:rsidR="00C50796" w:rsidRPr="00BD53DC" w:rsidRDefault="00C50796" w:rsidP="00BD53DC">
      <w:pPr>
        <w:shd w:val="clear" w:color="auto" w:fill="FFFFFF"/>
        <w:spacing w:before="100" w:beforeAutospacing="1" w:after="100" w:afterAutospacing="1" w:line="360" w:lineRule="auto"/>
        <w:rPr>
          <w:rFonts w:eastAsia="Times New Roman" w:cstheme="minorHAnsi"/>
          <w:color w:val="303030"/>
          <w:sz w:val="28"/>
          <w:szCs w:val="28"/>
          <w:lang w:eastAsia="en-GB"/>
        </w:rPr>
      </w:pPr>
      <w:r w:rsidRPr="00BD53DC">
        <w:rPr>
          <w:rFonts w:eastAsia="Times New Roman" w:cstheme="minorHAnsi"/>
          <w:color w:val="302E2F"/>
          <w:sz w:val="26"/>
          <w:szCs w:val="26"/>
          <w:lang w:eastAsia="en-GB"/>
        </w:rPr>
        <w:t>It's also important to remember that a person may have capacity for some decisions but not others, or they may not have capacity right now but may regain it in the future with support. This means all capacity decisions should be regularly reviewed to make sure they still reflect the person's ability to make decisions.</w:t>
      </w:r>
    </w:p>
    <w:sectPr w:rsidR="00C50796" w:rsidRPr="00BD53D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316D9A"/>
    <w:multiLevelType w:val="multilevel"/>
    <w:tmpl w:val="FC503E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D8A4ACF"/>
    <w:multiLevelType w:val="multilevel"/>
    <w:tmpl w:val="38544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CC21C8E"/>
    <w:multiLevelType w:val="multilevel"/>
    <w:tmpl w:val="3C560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72D5"/>
    <w:rsid w:val="00480BAA"/>
    <w:rsid w:val="006007D8"/>
    <w:rsid w:val="009872D5"/>
    <w:rsid w:val="00BD53DC"/>
    <w:rsid w:val="00C507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83A2B1"/>
  <w15:chartTrackingRefBased/>
  <w15:docId w15:val="{B7ECD151-AD65-4329-B535-CF94B006F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C50796"/>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480BAA"/>
    <w:rPr>
      <w:color w:val="0000FF"/>
      <w:u w:val="single"/>
    </w:rPr>
  </w:style>
  <w:style w:type="character" w:styleId="FollowedHyperlink">
    <w:name w:val="FollowedHyperlink"/>
    <w:basedOn w:val="DefaultParagraphFont"/>
    <w:uiPriority w:val="99"/>
    <w:semiHidden/>
    <w:unhideWhenUsed/>
    <w:rsid w:val="00480BAA"/>
    <w:rPr>
      <w:color w:val="800080" w:themeColor="followedHyperlink"/>
      <w:u w:val="single"/>
    </w:rPr>
  </w:style>
  <w:style w:type="paragraph" w:styleId="NormalWeb">
    <w:name w:val="Normal (Web)"/>
    <w:basedOn w:val="Normal"/>
    <w:uiPriority w:val="99"/>
    <w:semiHidden/>
    <w:unhideWhenUsed/>
    <w:rsid w:val="00480BA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480BAA"/>
    <w:rPr>
      <w:b/>
      <w:bCs/>
    </w:rPr>
  </w:style>
  <w:style w:type="character" w:customStyle="1" w:styleId="Heading3Char">
    <w:name w:val="Heading 3 Char"/>
    <w:basedOn w:val="DefaultParagraphFont"/>
    <w:link w:val="Heading3"/>
    <w:uiPriority w:val="9"/>
    <w:rsid w:val="00C50796"/>
    <w:rPr>
      <w:rFonts w:ascii="Times New Roman" w:eastAsia="Times New Roman" w:hAnsi="Times New Roman" w:cs="Times New Roman"/>
      <w:b/>
      <w:bCs/>
      <w:sz w:val="27"/>
      <w:szCs w:val="27"/>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7961049">
      <w:bodyDiv w:val="1"/>
      <w:marLeft w:val="0"/>
      <w:marRight w:val="0"/>
      <w:marTop w:val="0"/>
      <w:marBottom w:val="0"/>
      <w:divBdr>
        <w:top w:val="none" w:sz="0" w:space="0" w:color="auto"/>
        <w:left w:val="none" w:sz="0" w:space="0" w:color="auto"/>
        <w:bottom w:val="none" w:sz="0" w:space="0" w:color="auto"/>
        <w:right w:val="none" w:sz="0" w:space="0" w:color="auto"/>
      </w:divBdr>
    </w:div>
    <w:div w:id="1281298770">
      <w:bodyDiv w:val="1"/>
      <w:marLeft w:val="0"/>
      <w:marRight w:val="0"/>
      <w:marTop w:val="0"/>
      <w:marBottom w:val="0"/>
      <w:divBdr>
        <w:top w:val="none" w:sz="0" w:space="0" w:color="auto"/>
        <w:left w:val="none" w:sz="0" w:space="0" w:color="auto"/>
        <w:bottom w:val="none" w:sz="0" w:space="0" w:color="auto"/>
        <w:right w:val="none" w:sz="0" w:space="0" w:color="auto"/>
      </w:divBdr>
    </w:div>
    <w:div w:id="1951935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scie.org.uk/mca/introduction/mental-capacity-act-2005-at-a-glanc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mencap.org.uk/advice-and-support/mental-capacity-act"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1</Pages>
  <Words>287</Words>
  <Characters>1637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 GIBSON</dc:creator>
  <cp:keywords/>
  <dc:description/>
  <cp:lastModifiedBy>Joan GIBSON</cp:lastModifiedBy>
  <cp:revision>2</cp:revision>
  <dcterms:created xsi:type="dcterms:W3CDTF">2020-11-27T08:23:00Z</dcterms:created>
  <dcterms:modified xsi:type="dcterms:W3CDTF">2020-11-27T09:47:00Z</dcterms:modified>
</cp:coreProperties>
</file>